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F8" w:rsidRPr="000941A8" w:rsidRDefault="00990FF8" w:rsidP="00990FF8">
      <w:pPr>
        <w:pStyle w:val="ListParagraph"/>
        <w:ind w:left="0" w:firstLine="720"/>
        <w:jc w:val="right"/>
        <w:rPr>
          <w:rFonts w:cstheme="minorHAnsi"/>
          <w:b/>
          <w:bCs/>
          <w:sz w:val="24"/>
          <w:szCs w:val="24"/>
        </w:rPr>
      </w:pPr>
      <w:r w:rsidRPr="000941A8">
        <w:rPr>
          <w:rFonts w:cstheme="minorHAnsi"/>
          <w:b/>
          <w:bCs/>
          <w:sz w:val="24"/>
          <w:szCs w:val="24"/>
        </w:rPr>
        <w:t xml:space="preserve">ANEXA nr. 2 </w:t>
      </w:r>
    </w:p>
    <w:p w:rsidR="00990FF8" w:rsidRPr="000941A8" w:rsidRDefault="00990FF8" w:rsidP="00990FF8">
      <w:pPr>
        <w:pStyle w:val="ListParagraph"/>
        <w:ind w:left="0" w:firstLine="720"/>
        <w:jc w:val="center"/>
        <w:rPr>
          <w:rFonts w:cstheme="minorHAnsi"/>
          <w:sz w:val="24"/>
          <w:szCs w:val="24"/>
        </w:rPr>
      </w:pPr>
      <w:r w:rsidRPr="000941A8">
        <w:rPr>
          <w:rFonts w:cstheme="minorHAnsi"/>
          <w:b/>
          <w:bCs/>
          <w:sz w:val="24"/>
          <w:szCs w:val="24"/>
        </w:rPr>
        <w:t>LISTA CUPRINZÂND CATEGORIILE DE DOCUMENTE PRODUSE ŞI/SAU GESTIONATE, POTRIVIT LEGII, DE ASAS, conform art. 5, alin. 1, lit. H din Legea nr. 544/2001 privind liberul acces la informațiile de interes public modificată si completată</w:t>
      </w:r>
    </w:p>
    <w:p w:rsidR="00990FF8" w:rsidRPr="000941A8" w:rsidRDefault="00990FF8" w:rsidP="00990FF8">
      <w:pPr>
        <w:pStyle w:val="ListParagraph"/>
        <w:ind w:left="0" w:firstLine="720"/>
        <w:jc w:val="both"/>
        <w:rPr>
          <w:rFonts w:cstheme="minorHAnsi"/>
          <w:sz w:val="24"/>
          <w:szCs w:val="24"/>
        </w:rPr>
      </w:pP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Acte normative;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Avize, analize, opinii legale;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Adeverințe;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Acorduri confidențiale;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Borderouri de expediere corespondență;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Buletin informativ conform Legii nr. 544/2001 privind informațiile de interes public modificată </w:t>
      </w:r>
      <w:proofErr w:type="spellStart"/>
      <w:r w:rsidRPr="000941A8">
        <w:rPr>
          <w:rFonts w:cstheme="minorHAnsi"/>
          <w:sz w:val="24"/>
          <w:szCs w:val="24"/>
        </w:rPr>
        <w:t>şi</w:t>
      </w:r>
      <w:proofErr w:type="spellEnd"/>
      <w:r w:rsidRPr="000941A8">
        <w:rPr>
          <w:rFonts w:cstheme="minorHAnsi"/>
          <w:sz w:val="24"/>
          <w:szCs w:val="24"/>
        </w:rPr>
        <w:t xml:space="preserve"> completată;</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Bugete de venituri si cheltuieli si note de fundamentare;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Carta de audit intern;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Chestionare;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Circulare elaborate în vederea aplicării unitare a prevederilor legale din domeniu de competentă;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Codul de conduită al personalului contractual din ASAS;</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Contracte;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Corespondență;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Condica de prezență;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Contracte individuale de munca;</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Dosare profesionale angajați,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Decizii emise de Președintele ASAS si dispoziții interne;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Decizii emise de Președintele ASAS privind deplasările în străinătate a personalului propriu;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Declarații obligații de plată la bugetul de stat;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Dosare și documentații aferente achizițiilor publice;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Documente contabile: bilanțul contabil, bugetul de venituri </w:t>
      </w:r>
      <w:proofErr w:type="spellStart"/>
      <w:r w:rsidRPr="000941A8">
        <w:rPr>
          <w:rFonts w:cstheme="minorHAnsi"/>
          <w:sz w:val="24"/>
          <w:szCs w:val="24"/>
        </w:rPr>
        <w:t>şi</w:t>
      </w:r>
      <w:proofErr w:type="spellEnd"/>
      <w:r w:rsidRPr="000941A8">
        <w:rPr>
          <w:rFonts w:cstheme="minorHAnsi"/>
          <w:sz w:val="24"/>
          <w:szCs w:val="24"/>
        </w:rPr>
        <w:t xml:space="preserve"> cheltuieli, cont de rezultat patrimonial, cont execuție cheltuieli, cont execuție venituri;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Documente privind organizarea cursurilor de formare </w:t>
      </w:r>
      <w:proofErr w:type="spellStart"/>
      <w:r w:rsidRPr="000941A8">
        <w:rPr>
          <w:rFonts w:cstheme="minorHAnsi"/>
          <w:sz w:val="24"/>
          <w:szCs w:val="24"/>
        </w:rPr>
        <w:t>şi</w:t>
      </w:r>
      <w:proofErr w:type="spellEnd"/>
      <w:r w:rsidRPr="000941A8">
        <w:rPr>
          <w:rFonts w:cstheme="minorHAnsi"/>
          <w:sz w:val="24"/>
          <w:szCs w:val="24"/>
        </w:rPr>
        <w:t xml:space="preserve"> perfecționare profesională;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Documente privind organizarea </w:t>
      </w:r>
      <w:proofErr w:type="spellStart"/>
      <w:r w:rsidRPr="000941A8">
        <w:rPr>
          <w:rFonts w:cstheme="minorHAnsi"/>
          <w:sz w:val="24"/>
          <w:szCs w:val="24"/>
        </w:rPr>
        <w:t>şi</w:t>
      </w:r>
      <w:proofErr w:type="spellEnd"/>
      <w:r w:rsidRPr="000941A8">
        <w:rPr>
          <w:rFonts w:cstheme="minorHAnsi"/>
          <w:sz w:val="24"/>
          <w:szCs w:val="24"/>
        </w:rPr>
        <w:t xml:space="preserve"> desfășurarea concursurilor;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Documente care conțin informații referitoare la viață intimă, familială </w:t>
      </w:r>
      <w:proofErr w:type="spellStart"/>
      <w:r w:rsidRPr="000941A8">
        <w:rPr>
          <w:rFonts w:cstheme="minorHAnsi"/>
          <w:sz w:val="24"/>
          <w:szCs w:val="24"/>
        </w:rPr>
        <w:t>şi</w:t>
      </w:r>
      <w:proofErr w:type="spellEnd"/>
      <w:r w:rsidRPr="000941A8">
        <w:rPr>
          <w:rFonts w:cstheme="minorHAnsi"/>
          <w:sz w:val="24"/>
          <w:szCs w:val="24"/>
        </w:rPr>
        <w:t xml:space="preserve"> privată a personalului;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Documente privind secretul de serviciu si/sau informații clasificate;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Dosare de achiziție publică sub 5000 de euro;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Dosare profesionale directori </w:t>
      </w:r>
      <w:proofErr w:type="spellStart"/>
      <w:r w:rsidRPr="000941A8">
        <w:rPr>
          <w:rFonts w:cstheme="minorHAnsi"/>
          <w:sz w:val="24"/>
          <w:szCs w:val="24"/>
        </w:rPr>
        <w:t>ucd</w:t>
      </w:r>
      <w:proofErr w:type="spellEnd"/>
      <w:r w:rsidRPr="000941A8">
        <w:rPr>
          <w:rFonts w:cstheme="minorHAnsi"/>
          <w:sz w:val="24"/>
          <w:szCs w:val="24"/>
        </w:rPr>
        <w:t xml:space="preserve"> subordonate ASAS;</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Dosare de audit public intern;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Documente justificative, angajamente bugetare </w:t>
      </w:r>
      <w:proofErr w:type="spellStart"/>
      <w:r w:rsidRPr="000941A8">
        <w:rPr>
          <w:rFonts w:cstheme="minorHAnsi"/>
          <w:sz w:val="24"/>
          <w:szCs w:val="24"/>
        </w:rPr>
        <w:t>şi</w:t>
      </w:r>
      <w:proofErr w:type="spellEnd"/>
      <w:r w:rsidRPr="000941A8">
        <w:rPr>
          <w:rFonts w:cstheme="minorHAnsi"/>
          <w:sz w:val="24"/>
          <w:szCs w:val="24"/>
        </w:rPr>
        <w:t xml:space="preserve"> legale, ordonanțări de plată;</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Documente privind parole, sisteme de comunicații si mecanisme de securitate;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lastRenderedPageBreak/>
        <w:t>Documente privind tematici de cercetare, proiecte de cercetare, caiete de observații, notițe, date, măsurători, analize, determinări, observații întocmite in activitatea de cercetare sau in rapoartele de cercetare pana la omologarea produsului sau pana la publicarea rapoartelor parțiale sau finale pe pagina web;</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Date experimentale nepublicate, rezultatele activității de cercetare - dezvoltare nediseminate, neimplementate, nebrevetate, constând în documentații, studii, lucrări, planuri, scheme, alte asemenea; tehnologii, procedee, produse, rețete, metode, alte asemenea; colecții, baze de date, etc. cât timp sunt în stadiul de proiect, de execuție, nefinalizate, neomologate, neautorizate, omologate sau raportate ca rezultate de cercetare, la solicitarea contractorului;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 Documentele care conțin rezultatele preliminare ale testelor de omologare, inclusiv performanta, rezistenta la boli si alți factori, până la finalizarea procesului de evaluare, aprobare, înscriere în catalog / omologare, după caz;</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eastAsia="Times New Roman" w:cstheme="minorHAnsi"/>
          <w:sz w:val="24"/>
          <w:szCs w:val="24"/>
        </w:rPr>
        <w:t>Documente emise în activitatea</w:t>
      </w:r>
      <w:r w:rsidRPr="000941A8">
        <w:rPr>
          <w:rFonts w:cstheme="minorHAnsi"/>
          <w:sz w:val="24"/>
          <w:szCs w:val="24"/>
        </w:rPr>
        <w:t xml:space="preserve"> </w:t>
      </w:r>
      <w:r w:rsidRPr="000941A8">
        <w:rPr>
          <w:rFonts w:eastAsia="Times New Roman" w:cstheme="minorHAnsi"/>
          <w:sz w:val="24"/>
          <w:szCs w:val="24"/>
        </w:rPr>
        <w:t>de cercetare, până la omologarea sau brevetarea unui produs medical veterinar;</w:t>
      </w:r>
    </w:p>
    <w:p w:rsidR="00990FF8" w:rsidRPr="000941A8" w:rsidRDefault="00990FF8" w:rsidP="00990FF8">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rPr>
      </w:pPr>
      <w:r w:rsidRPr="000941A8">
        <w:rPr>
          <w:rFonts w:asciiTheme="minorHAnsi" w:hAnsiTheme="minorHAnsi" w:cstheme="minorHAnsi"/>
        </w:rPr>
        <w:t>Dosarele de cercetare disciplinara;</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Declarații de avere și interese;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Documente întocmite pentru implementarea Strategiei Naționale Anticorupție;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Dosare profesionale ale membrilor aleși;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Dosare litigii aflate pe rolul instanțelor de judecată, în care ASAS este parte;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Fișe de evaluare a performanțelor profesionale ale personalului contractual;</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Fise de post;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Formulare diverse;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Proiecte de hotărâri de guvern de reorganizare ale unităților c-d-i, pentru scoaterea bunurilor din domeniul public al statului în domeniul privat în vederea casării etc.;</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Formulare (ex.: formulare de audit întocmite conform prevederilor O.M.F.P. nr. 38/2003 pentru aprobarea Normelor generale privind exercitarea activității de audit public intern)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Informații privind proiectele internaționale/acorduri de colaborare în care ASAS este parte;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Informare din domeniul de competență al fiecărui compartiment, în vederea întocmirii Raportului anual de activitate pe baza Legii nr. 544/2001 privind informațiile de interes public modificată </w:t>
      </w:r>
      <w:proofErr w:type="spellStart"/>
      <w:r w:rsidRPr="000941A8">
        <w:rPr>
          <w:rFonts w:cstheme="minorHAnsi"/>
          <w:sz w:val="24"/>
          <w:szCs w:val="24"/>
        </w:rPr>
        <w:t>şi</w:t>
      </w:r>
      <w:proofErr w:type="spellEnd"/>
      <w:r w:rsidRPr="000941A8">
        <w:rPr>
          <w:rFonts w:cstheme="minorHAnsi"/>
          <w:sz w:val="24"/>
          <w:szCs w:val="24"/>
        </w:rPr>
        <w:t xml:space="preserve"> completată;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Informări, note, puncte de vedere, observații interne;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Înregistrările audio-video (și transcrierile acestora);</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Lista cu personalul unității si </w:t>
      </w:r>
      <w:proofErr w:type="spellStart"/>
      <w:r w:rsidRPr="000941A8">
        <w:rPr>
          <w:rFonts w:cstheme="minorHAnsi"/>
          <w:sz w:val="24"/>
          <w:szCs w:val="24"/>
        </w:rPr>
        <w:t>ucd</w:t>
      </w:r>
      <w:proofErr w:type="spellEnd"/>
      <w:r w:rsidRPr="000941A8">
        <w:rPr>
          <w:rFonts w:cstheme="minorHAnsi"/>
          <w:sz w:val="24"/>
          <w:szCs w:val="24"/>
        </w:rPr>
        <w:t xml:space="preserve"> subordonate;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Materiale de informare în domeniile de competentă a ASAS;</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Minute;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Note, puncte de vedere, observații;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Note de lichidare;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Numere telefon angajați;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lastRenderedPageBreak/>
        <w:t>Petiții, plângeri, sesizări;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Planuri multianuale </w:t>
      </w:r>
      <w:proofErr w:type="spellStart"/>
      <w:r w:rsidRPr="000941A8">
        <w:rPr>
          <w:rFonts w:cstheme="minorHAnsi"/>
          <w:sz w:val="24"/>
          <w:szCs w:val="24"/>
        </w:rPr>
        <w:t>şi</w:t>
      </w:r>
      <w:proofErr w:type="spellEnd"/>
      <w:r w:rsidRPr="000941A8">
        <w:rPr>
          <w:rFonts w:cstheme="minorHAnsi"/>
          <w:sz w:val="24"/>
          <w:szCs w:val="24"/>
        </w:rPr>
        <w:t xml:space="preserve"> anuale de audit/control;</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Planul anual de formare profesionala</w:t>
      </w:r>
      <w:r w:rsidRPr="000941A8">
        <w:rPr>
          <w:rFonts w:cstheme="minorHAnsi"/>
          <w:sz w:val="24"/>
          <w:szCs w:val="24"/>
          <w:lang w:val="en-US"/>
        </w:rPr>
        <w:t>;</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 Planul anual si multianual privind activitățile referitoare la relațiile externe ale instituției;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Planuri de masuri;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Planul de paza;</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Planul de evacuare;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Procese verbale de control, note de constatare întocmite. procese verbale de cercetare;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Proceduri operaționale </w:t>
      </w:r>
      <w:proofErr w:type="spellStart"/>
      <w:r w:rsidRPr="000941A8">
        <w:rPr>
          <w:rFonts w:cstheme="minorHAnsi"/>
          <w:sz w:val="24"/>
          <w:szCs w:val="24"/>
        </w:rPr>
        <w:t>şi</w:t>
      </w:r>
      <w:proofErr w:type="spellEnd"/>
      <w:r w:rsidRPr="000941A8">
        <w:rPr>
          <w:rFonts w:cstheme="minorHAnsi"/>
          <w:sz w:val="24"/>
          <w:szCs w:val="24"/>
        </w:rPr>
        <w:t xml:space="preserve"> de sistem;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Programe </w:t>
      </w:r>
      <w:proofErr w:type="spellStart"/>
      <w:r w:rsidRPr="000941A8">
        <w:rPr>
          <w:rFonts w:cstheme="minorHAnsi"/>
          <w:sz w:val="24"/>
          <w:szCs w:val="24"/>
        </w:rPr>
        <w:t>şi</w:t>
      </w:r>
      <w:proofErr w:type="spellEnd"/>
      <w:r w:rsidRPr="000941A8">
        <w:rPr>
          <w:rFonts w:cstheme="minorHAnsi"/>
          <w:sz w:val="24"/>
          <w:szCs w:val="24"/>
        </w:rPr>
        <w:t xml:space="preserve"> strategii în domeniu, Programul anual de achiziții,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programarea anuală a concediilor de odihnă;</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Protocoale </w:t>
      </w:r>
      <w:proofErr w:type="spellStart"/>
      <w:r w:rsidRPr="000941A8">
        <w:rPr>
          <w:rFonts w:cstheme="minorHAnsi"/>
          <w:sz w:val="24"/>
          <w:szCs w:val="24"/>
        </w:rPr>
        <w:t>şi</w:t>
      </w:r>
      <w:proofErr w:type="spellEnd"/>
      <w:r w:rsidRPr="000941A8">
        <w:rPr>
          <w:rFonts w:cstheme="minorHAnsi"/>
          <w:sz w:val="24"/>
          <w:szCs w:val="24"/>
        </w:rPr>
        <w:t xml:space="preserve"> alte documente de cooperare internațională în domeniile de competență a ASAS;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Protocoale de colaborare cu diferite autorități și instituții publice;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Programul de pregătire </w:t>
      </w:r>
      <w:proofErr w:type="spellStart"/>
      <w:r w:rsidRPr="000941A8">
        <w:rPr>
          <w:rFonts w:cstheme="minorHAnsi"/>
          <w:sz w:val="24"/>
          <w:szCs w:val="24"/>
        </w:rPr>
        <w:t>şi</w:t>
      </w:r>
      <w:proofErr w:type="spellEnd"/>
      <w:r w:rsidRPr="000941A8">
        <w:rPr>
          <w:rFonts w:cstheme="minorHAnsi"/>
          <w:sz w:val="24"/>
          <w:szCs w:val="24"/>
        </w:rPr>
        <w:t xml:space="preserve"> de asigurare a îmbunătățirii calității activității de audit public intern la nivelul ASAS</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Rapoarte </w:t>
      </w:r>
      <w:proofErr w:type="spellStart"/>
      <w:r w:rsidRPr="000941A8">
        <w:rPr>
          <w:rFonts w:cstheme="minorHAnsi"/>
          <w:sz w:val="24"/>
          <w:szCs w:val="24"/>
        </w:rPr>
        <w:t>şi</w:t>
      </w:r>
      <w:proofErr w:type="spellEnd"/>
      <w:r w:rsidRPr="000941A8">
        <w:rPr>
          <w:rFonts w:cstheme="minorHAnsi"/>
          <w:sz w:val="24"/>
          <w:szCs w:val="24"/>
        </w:rPr>
        <w:t xml:space="preserve"> analize;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Răspunsuri la petiții sau alt tip de solicitări provenite de la autorități </w:t>
      </w:r>
      <w:proofErr w:type="spellStart"/>
      <w:r w:rsidRPr="000941A8">
        <w:rPr>
          <w:rFonts w:cstheme="minorHAnsi"/>
          <w:sz w:val="24"/>
          <w:szCs w:val="24"/>
        </w:rPr>
        <w:t>şi</w:t>
      </w:r>
      <w:proofErr w:type="spellEnd"/>
      <w:r w:rsidRPr="000941A8">
        <w:rPr>
          <w:rFonts w:cstheme="minorHAnsi"/>
          <w:sz w:val="24"/>
          <w:szCs w:val="24"/>
        </w:rPr>
        <w:t xml:space="preserve"> instituții ale statului, persoane juridice, persoane fizice, mass-media;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Referate;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Registre;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Regulamente;</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Situații nominale ale posturilor si personalului pe compartimente funcționale;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 xml:space="preserve">Situații statistice periodice privind domeniul de activitate (stocuri, suprafețe, preturi de valorificare, venituri realizate, etc.) </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State de funcții  si statele de salarii;</w:t>
      </w:r>
    </w:p>
    <w:p w:rsidR="00990FF8" w:rsidRPr="000941A8" w:rsidRDefault="00990FF8" w:rsidP="00990FF8">
      <w:pPr>
        <w:pStyle w:val="ListParagraph"/>
        <w:numPr>
          <w:ilvl w:val="0"/>
          <w:numId w:val="1"/>
        </w:numPr>
        <w:spacing w:line="256" w:lineRule="auto"/>
        <w:jc w:val="both"/>
        <w:rPr>
          <w:rFonts w:cstheme="minorHAnsi"/>
          <w:sz w:val="24"/>
          <w:szCs w:val="24"/>
        </w:rPr>
      </w:pPr>
      <w:r w:rsidRPr="000941A8">
        <w:rPr>
          <w:rFonts w:cstheme="minorHAnsi"/>
          <w:sz w:val="24"/>
          <w:szCs w:val="24"/>
        </w:rPr>
        <w:t>Sistemul de control intern managerial si documentele aferente dezvoltării si implementării acestuia;</w:t>
      </w:r>
    </w:p>
    <w:p w:rsidR="00990FF8" w:rsidRPr="000941A8" w:rsidRDefault="00990FF8" w:rsidP="00990FF8">
      <w:pPr>
        <w:pStyle w:val="NormalWeb"/>
        <w:shd w:val="clear" w:color="auto" w:fill="FFFFFF"/>
        <w:spacing w:before="0" w:beforeAutospacing="0" w:after="0" w:afterAutospacing="0" w:line="276" w:lineRule="auto"/>
        <w:ind w:firstLine="720"/>
        <w:jc w:val="right"/>
        <w:rPr>
          <w:rFonts w:asciiTheme="minorHAnsi" w:hAnsiTheme="minorHAnsi" w:cstheme="minorHAnsi"/>
          <w:b/>
          <w:bCs/>
        </w:rPr>
      </w:pPr>
    </w:p>
    <w:p w:rsidR="00990FF8" w:rsidRPr="000941A8" w:rsidRDefault="00990FF8" w:rsidP="00990FF8">
      <w:pPr>
        <w:pStyle w:val="NormalWeb"/>
        <w:shd w:val="clear" w:color="auto" w:fill="FFFFFF"/>
        <w:spacing w:before="0" w:beforeAutospacing="0" w:after="0" w:afterAutospacing="0" w:line="276" w:lineRule="auto"/>
        <w:ind w:firstLine="720"/>
        <w:jc w:val="right"/>
        <w:rPr>
          <w:rFonts w:asciiTheme="minorHAnsi" w:hAnsiTheme="minorHAnsi" w:cstheme="minorHAnsi"/>
          <w:b/>
          <w:bCs/>
        </w:rPr>
      </w:pPr>
    </w:p>
    <w:p w:rsidR="00990FF8" w:rsidRPr="000941A8" w:rsidRDefault="00990FF8" w:rsidP="00990FF8">
      <w:pPr>
        <w:pStyle w:val="NormalWeb"/>
        <w:shd w:val="clear" w:color="auto" w:fill="FFFFFF"/>
        <w:spacing w:before="0" w:beforeAutospacing="0" w:after="0" w:afterAutospacing="0" w:line="276" w:lineRule="auto"/>
        <w:ind w:firstLine="720"/>
        <w:jc w:val="right"/>
        <w:rPr>
          <w:rFonts w:asciiTheme="minorHAnsi" w:hAnsiTheme="minorHAnsi" w:cstheme="minorHAnsi"/>
          <w:b/>
          <w:bCs/>
        </w:rPr>
      </w:pPr>
    </w:p>
    <w:p w:rsidR="00990FF8" w:rsidRPr="000941A8" w:rsidRDefault="00990FF8" w:rsidP="00990FF8">
      <w:pPr>
        <w:pStyle w:val="NormalWeb"/>
        <w:shd w:val="clear" w:color="auto" w:fill="FFFFFF"/>
        <w:spacing w:before="0" w:beforeAutospacing="0" w:after="0" w:afterAutospacing="0" w:line="276" w:lineRule="auto"/>
        <w:ind w:firstLine="720"/>
        <w:jc w:val="right"/>
        <w:rPr>
          <w:rFonts w:asciiTheme="minorHAnsi" w:hAnsiTheme="minorHAnsi" w:cstheme="minorHAnsi"/>
          <w:b/>
          <w:bCs/>
        </w:rPr>
      </w:pPr>
    </w:p>
    <w:p w:rsidR="005754DF" w:rsidRDefault="005754DF">
      <w:bookmarkStart w:id="0" w:name="_GoBack"/>
      <w:bookmarkEnd w:id="0"/>
    </w:p>
    <w:sectPr w:rsidR="00575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AC3"/>
    <w:multiLevelType w:val="hybridMultilevel"/>
    <w:tmpl w:val="7D56D3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36"/>
    <w:rsid w:val="005754DF"/>
    <w:rsid w:val="00990FF8"/>
    <w:rsid w:val="00B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B44F-D022-4B0F-B804-CC18A5B2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FF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990FF8"/>
    <w:pPr>
      <w:ind w:left="720"/>
      <w:contextualSpacing/>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2025-03-25T11:12:00Z</dcterms:created>
  <dcterms:modified xsi:type="dcterms:W3CDTF">2025-03-25T11:12:00Z</dcterms:modified>
</cp:coreProperties>
</file>